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 xml:space="preserve">a podporne a primerane podľa ustanovení § 566 a nasl. a § 591 a nasl.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5C4715F6"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FA0DF6">
        <w:rPr>
          <w:b/>
          <w:sz w:val="21"/>
          <w:szCs w:val="21"/>
        </w:rPr>
        <w:t>Rekonštrukcia</w:t>
      </w:r>
      <w:r w:rsidR="00FA0DF6" w:rsidRPr="00CE6D88">
        <w:rPr>
          <w:b/>
          <w:sz w:val="21"/>
          <w:szCs w:val="21"/>
        </w:rPr>
        <w:t xml:space="preserve"> </w:t>
      </w:r>
      <w:r w:rsidR="00D121EF" w:rsidRPr="00CE6D88">
        <w:rPr>
          <w:b/>
          <w:sz w:val="21"/>
          <w:szCs w:val="21"/>
        </w:rPr>
        <w:t xml:space="preserve">ciest II. a III. triedy (opravy krytov vozoviek a súvisiace práce) v pôsobnosti BBSK – vybrané úseky ciest v okresoch </w:t>
      </w:r>
      <w:r w:rsidR="000474BA">
        <w:rPr>
          <w:b/>
          <w:sz w:val="21"/>
          <w:szCs w:val="21"/>
        </w:rPr>
        <w:t>Zvolen, Brezno a Detva</w:t>
      </w:r>
      <w:r w:rsidR="00D121EF" w:rsidDel="00D121EF">
        <w:rPr>
          <w:b/>
          <w:bCs/>
          <w:color w:val="000000"/>
          <w:sz w:val="21"/>
          <w:szCs w:val="21"/>
          <w:highlight w:val="yellow"/>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7777777" w:rsidR="00B0664B" w:rsidRPr="0001076F" w:rsidRDefault="00B0664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2E227534"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FA0DF6">
        <w:rPr>
          <w:b/>
          <w:sz w:val="21"/>
          <w:szCs w:val="21"/>
        </w:rPr>
        <w:t>Rekonštrukcia</w:t>
      </w:r>
      <w:r w:rsidR="00FA0DF6" w:rsidRPr="00CE6D88">
        <w:rPr>
          <w:b/>
          <w:sz w:val="21"/>
          <w:szCs w:val="21"/>
        </w:rPr>
        <w:t xml:space="preserve"> </w:t>
      </w:r>
      <w:r w:rsidR="00D121EF" w:rsidRPr="00CE6D88">
        <w:rPr>
          <w:b/>
          <w:sz w:val="21"/>
          <w:szCs w:val="21"/>
        </w:rPr>
        <w:t xml:space="preserve">ciest II. a III. triedy (opravy krytov vozoviek a súvisiace práce) v pôsobnosti BBSK – vybrané úseky ciest v okresoch </w:t>
      </w:r>
      <w:r w:rsidR="000474BA">
        <w:rPr>
          <w:b/>
          <w:sz w:val="21"/>
          <w:szCs w:val="21"/>
        </w:rPr>
        <w:t>Zvolen, Brezno a Detva</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s lehotou výstavby: 365 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r>
        <w:rPr>
          <w:sz w:val="21"/>
          <w:szCs w:val="21"/>
        </w:rPr>
        <w:t>reštudovanie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t.j.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geotechniku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Pr>
          <w:sz w:val="21"/>
          <w:szCs w:val="21"/>
        </w:rPr>
        <w:t>2</w:t>
      </w:r>
      <w:r w:rsidR="00BD66D4">
        <w:rPr>
          <w:sz w:val="21"/>
          <w:szCs w:val="21"/>
        </w:rPr>
        <w:t>.3.</w:t>
      </w:r>
      <w:r w:rsidR="00FD43B0">
        <w:rPr>
          <w:sz w:val="21"/>
          <w:szCs w:val="21"/>
        </w:rPr>
        <w:t xml:space="preserve"> </w:t>
      </w:r>
      <w:r w:rsidR="00BD66D4" w:rsidRPr="008D6DA8">
        <w:rPr>
          <w:sz w:val="21"/>
          <w:szCs w:val="21"/>
          <w:highlight w:val="yellow"/>
        </w:rPr>
        <w:t xml:space="preserve">Poskytovateľ bude uskutočňovať stavebný dozor na úsekoch </w:t>
      </w:r>
      <w:r w:rsidR="008D6DA8">
        <w:rPr>
          <w:sz w:val="21"/>
          <w:szCs w:val="21"/>
          <w:highlight w:val="yellow"/>
        </w:rPr>
        <w:t>ciest</w:t>
      </w:r>
      <w:r w:rsidR="00BD66D4" w:rsidRPr="008D6DA8">
        <w:rPr>
          <w:sz w:val="21"/>
          <w:szCs w:val="21"/>
          <w:highlight w:val="yellow"/>
        </w:rPr>
        <w:t xml:space="preserve"> podľa prílohy č.</w:t>
      </w:r>
      <w:r w:rsidR="00A24E8A">
        <w:rPr>
          <w:sz w:val="21"/>
          <w:szCs w:val="21"/>
          <w:highlight w:val="yellow"/>
        </w:rPr>
        <w:t xml:space="preserve"> </w:t>
      </w:r>
      <w:r w:rsidR="00BD66D4" w:rsidRPr="008D6DA8">
        <w:rPr>
          <w:sz w:val="21"/>
          <w:szCs w:val="21"/>
          <w:highlight w:val="yellow"/>
        </w:rPr>
        <w:t xml:space="preserve">2 </w:t>
      </w:r>
      <w:r w:rsidR="00A24E8A">
        <w:rPr>
          <w:sz w:val="21"/>
          <w:szCs w:val="21"/>
          <w:highlight w:val="yellow"/>
        </w:rPr>
        <w:t xml:space="preserve">tejto </w:t>
      </w:r>
      <w:r>
        <w:rPr>
          <w:sz w:val="21"/>
          <w:szCs w:val="21"/>
          <w:highlight w:val="yellow"/>
        </w:rPr>
        <w:t xml:space="preserve">zmluvy </w:t>
      </w:r>
      <w:r w:rsidR="008D6DA8">
        <w:rPr>
          <w:sz w:val="21"/>
          <w:szCs w:val="21"/>
          <w:highlight w:val="yellow"/>
        </w:rPr>
        <w:t xml:space="preserve">a </w:t>
      </w:r>
      <w:r w:rsidR="00BD66D4" w:rsidRPr="008D6DA8">
        <w:rPr>
          <w:sz w:val="21"/>
          <w:szCs w:val="21"/>
          <w:highlight w:val="yellow"/>
        </w:rPr>
        <w:t>na základe výzvy od objednávateľa</w:t>
      </w:r>
      <w:r w:rsidR="00A24E8A">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2D8633EC"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A31F3F5" w14:textId="34654791" w:rsidR="001F584F" w:rsidRPr="0001076F" w:rsidRDefault="002D26A7" w:rsidP="001F584F">
      <w:pPr>
        <w:pStyle w:val="Standard"/>
        <w:jc w:val="both"/>
        <w:rPr>
          <w:rFonts w:ascii="Arial" w:hAnsi="Arial" w:cs="Arial"/>
          <w:bCs/>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F584F" w14:paraId="26712EDC" w14:textId="77777777">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82735DB" w14:textId="77777777" w:rsidR="001F584F" w:rsidRDefault="001F584F" w:rsidP="003927A8">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3349DEC3" w14:textId="77777777" w:rsidR="001F584F" w:rsidRDefault="001F584F">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33F3AE44" w14:textId="77777777" w:rsidR="001F584F" w:rsidRDefault="001F584F">
                                  <w:pPr>
                                    <w:pStyle w:val="Standard"/>
                                    <w:jc w:val="center"/>
                                    <w:rPr>
                                      <w:rFonts w:ascii="Arial" w:hAnsi="Arial" w:cs="Arial"/>
                                      <w:b/>
                                      <w:sz w:val="22"/>
                                      <w:szCs w:val="22"/>
                                    </w:rPr>
                                  </w:pPr>
                                  <w:r>
                                    <w:rPr>
                                      <w:rFonts w:ascii="Arial" w:hAnsi="Arial" w:cs="Arial"/>
                                      <w:b/>
                                      <w:sz w:val="22"/>
                                      <w:szCs w:val="22"/>
                                    </w:rPr>
                                    <w:t>Cena vrátane DPH</w:t>
                                  </w:r>
                                </w:p>
                              </w:tc>
                            </w:tr>
                            <w:tr w:rsidR="001F584F" w14:paraId="565B6218" w14:textId="77777777">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5F1F84B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323AD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3D072676" w14:textId="6E8F7ED7" w:rsidR="001F584F" w:rsidRPr="00F60A36" w:rsidRDefault="001F584F">
                                  <w:pPr>
                                    <w:pStyle w:val="Standard"/>
                                    <w:jc w:val="center"/>
                                    <w:rPr>
                                      <w:rFonts w:ascii="Arial" w:eastAsia="Arial" w:hAnsi="Arial" w:cs="Arial"/>
                                      <w:bCs/>
                                      <w:iCs/>
                                      <w:sz w:val="22"/>
                                      <w:szCs w:val="22"/>
                                    </w:rPr>
                                  </w:pPr>
                                  <w:r>
                                    <w:rPr>
                                      <w:rFonts w:ascii="Arial" w:eastAsia="Arial" w:hAnsi="Arial" w:cs="Arial"/>
                                      <w:b/>
                                      <w:iCs/>
                                      <w:sz w:val="22"/>
                                      <w:szCs w:val="22"/>
                                    </w:rPr>
                                    <w:t xml:space="preserve"> </w:t>
                                  </w:r>
                                  <w:r w:rsidR="00F60A36">
                                    <w:rPr>
                                      <w:rFonts w:ascii="Arial" w:eastAsia="Arial" w:hAnsi="Arial" w:cs="Arial"/>
                                      <w:b/>
                                      <w:iCs/>
                                      <w:sz w:val="22"/>
                                      <w:szCs w:val="22"/>
                                    </w:rPr>
                                    <w:t xml:space="preserve">................ EUR </w:t>
                                  </w:r>
                                </w:p>
                              </w:tc>
                            </w:tr>
                          </w:tbl>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" stroked="f">
                <v:textbox style="mso-fit-shape-to-text:t" inset="0,0,0,0">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F584F" w14:paraId="26712EDC" w14:textId="77777777">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82735DB" w14:textId="77777777" w:rsidR="001F584F" w:rsidRDefault="001F584F" w:rsidP="003927A8">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3349DEC3" w14:textId="77777777" w:rsidR="001F584F" w:rsidRDefault="001F584F">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33F3AE44" w14:textId="77777777" w:rsidR="001F584F" w:rsidRDefault="001F584F">
                            <w:pPr>
                              <w:pStyle w:val="Standard"/>
                              <w:jc w:val="center"/>
                              <w:rPr>
                                <w:rFonts w:ascii="Arial" w:hAnsi="Arial" w:cs="Arial"/>
                                <w:b/>
                                <w:sz w:val="22"/>
                                <w:szCs w:val="22"/>
                              </w:rPr>
                            </w:pPr>
                            <w:r>
                              <w:rPr>
                                <w:rFonts w:ascii="Arial" w:hAnsi="Arial" w:cs="Arial"/>
                                <w:b/>
                                <w:sz w:val="22"/>
                                <w:szCs w:val="22"/>
                              </w:rPr>
                              <w:t>Cena vrátane DPH</w:t>
                            </w:r>
                          </w:p>
                        </w:tc>
                      </w:tr>
                      <w:tr w:rsidR="001F584F" w14:paraId="565B6218" w14:textId="77777777">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5F1F84B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323AD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3D072676" w14:textId="6E8F7ED7" w:rsidR="001F584F" w:rsidRPr="00F60A36" w:rsidRDefault="001F584F">
                            <w:pPr>
                              <w:pStyle w:val="Standard"/>
                              <w:jc w:val="center"/>
                              <w:rPr>
                                <w:rFonts w:ascii="Arial" w:eastAsia="Arial" w:hAnsi="Arial" w:cs="Arial"/>
                                <w:bCs/>
                                <w:iCs/>
                                <w:sz w:val="22"/>
                                <w:szCs w:val="22"/>
                              </w:rPr>
                            </w:pPr>
                            <w:r>
                              <w:rPr>
                                <w:rFonts w:ascii="Arial" w:eastAsia="Arial" w:hAnsi="Arial" w:cs="Arial"/>
                                <w:b/>
                                <w:iCs/>
                                <w:sz w:val="22"/>
                                <w:szCs w:val="22"/>
                              </w:rPr>
                              <w:t xml:space="preserve"> </w:t>
                            </w:r>
                            <w:r w:rsidR="00F60A36">
                              <w:rPr>
                                <w:rFonts w:ascii="Arial" w:eastAsia="Arial" w:hAnsi="Arial" w:cs="Arial"/>
                                <w:b/>
                                <w:iCs/>
                                <w:sz w:val="22"/>
                                <w:szCs w:val="22"/>
                              </w:rPr>
                              <w:t xml:space="preserve">................ EUR </w:t>
                            </w:r>
                          </w:p>
                        </w:tc>
                      </w:tr>
                    </w:tbl>
                    <w:p w14:paraId="0ACF1BC6" w14:textId="77777777" w:rsidR="001F584F" w:rsidRDefault="001F584F" w:rsidP="001F584F"/>
                  </w:txbxContent>
                </v:textbox>
                <w10:wrap type="square"/>
              </v:shape>
            </w:pict>
          </mc:Fallback>
        </mc:AlternateContent>
      </w:r>
    </w:p>
    <w:p w14:paraId="7968CB8D" w14:textId="77777777" w:rsidR="001F584F" w:rsidRPr="0001076F" w:rsidRDefault="001F584F" w:rsidP="001F584F">
      <w:pPr>
        <w:pStyle w:val="Standard"/>
        <w:ind w:right="4"/>
        <w:rPr>
          <w:rFonts w:ascii="Arial" w:hAnsi="Arial" w:cs="Arial"/>
          <w:bCs/>
          <w:sz w:val="21"/>
          <w:szCs w:val="21"/>
        </w:rPr>
      </w:pPr>
    </w:p>
    <w:p w14:paraId="457E16A0" w14:textId="310154E3" w:rsidR="001A21D1" w:rsidRDefault="001A21D1" w:rsidP="001A21D1">
      <w:pPr>
        <w:pStyle w:val="Standard"/>
        <w:ind w:left="426" w:right="4"/>
        <w:jc w:val="both"/>
        <w:rPr>
          <w:strike/>
          <w:sz w:val="21"/>
          <w:szCs w:val="21"/>
        </w:rPr>
      </w:pPr>
    </w:p>
    <w:p w14:paraId="1B22515F" w14:textId="0E98793D" w:rsidR="001F584F" w:rsidRDefault="001F584F" w:rsidP="001A21D1">
      <w:pPr>
        <w:pStyle w:val="Standard"/>
        <w:ind w:left="426" w:right="4"/>
        <w:jc w:val="both"/>
        <w:rPr>
          <w:strike/>
          <w:sz w:val="21"/>
          <w:szCs w:val="21"/>
        </w:rPr>
      </w:pPr>
    </w:p>
    <w:p w14:paraId="0A6FD6D4" w14:textId="7F91494B" w:rsidR="001F584F" w:rsidRDefault="001F584F" w:rsidP="001A21D1">
      <w:pPr>
        <w:pStyle w:val="Standard"/>
        <w:ind w:left="426" w:right="4"/>
        <w:jc w:val="both"/>
        <w:rPr>
          <w:strike/>
          <w:sz w:val="21"/>
          <w:szCs w:val="21"/>
        </w:rPr>
      </w:pPr>
    </w:p>
    <w:p w14:paraId="2203D960" w14:textId="48DA7820" w:rsidR="001F584F" w:rsidRPr="0001076F" w:rsidRDefault="001F584F" w:rsidP="001F584F">
      <w:pPr>
        <w:pStyle w:val="Standard"/>
        <w:ind w:left="360" w:right="4"/>
        <w:rPr>
          <w:sz w:val="21"/>
          <w:szCs w:val="21"/>
        </w:rPr>
      </w:pPr>
      <w:r w:rsidRPr="0001076F">
        <w:rPr>
          <w:sz w:val="21"/>
          <w:szCs w:val="21"/>
        </w:rPr>
        <w:t xml:space="preserve">slovom: ...................................................... </w:t>
      </w:r>
      <w:r w:rsidR="00F60A36">
        <w:rPr>
          <w:sz w:val="21"/>
          <w:szCs w:val="21"/>
        </w:rPr>
        <w:t>vrátane</w:t>
      </w:r>
      <w:r w:rsidR="00F60A36" w:rsidRPr="0001076F">
        <w:rPr>
          <w:sz w:val="21"/>
          <w:szCs w:val="21"/>
        </w:rPr>
        <w:t xml:space="preserve"> </w:t>
      </w:r>
      <w:r w:rsidRPr="0001076F">
        <w:rPr>
          <w:sz w:val="21"/>
          <w:szCs w:val="21"/>
        </w:rPr>
        <w:t>DPH.</w: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01076F">
        <w:rPr>
          <w:sz w:val="21"/>
          <w:szCs w:val="21"/>
        </w:rPr>
        <w:t xml:space="preserve">Celková </w:t>
      </w:r>
      <w:r w:rsidRPr="002D248E">
        <w:rPr>
          <w:sz w:val="21"/>
          <w:szCs w:val="21"/>
          <w:highlight w:val="yellow"/>
        </w:rPr>
        <w:t>maximálna</w:t>
      </w:r>
      <w:r w:rsidRPr="0001076F">
        <w:rPr>
          <w:sz w:val="21"/>
          <w:szCs w:val="21"/>
        </w:rPr>
        <w:t xml:space="preserve"> odplata poskytovateľa za stavebný dozor bez ohľadu na počet odpracovaných hodín podľa tejto zmluvy predstavuje:</w:t>
      </w:r>
    </w:p>
    <w:p w14:paraId="0004D831" w14:textId="0F1EB455" w:rsidR="001A21D1" w:rsidRPr="00F60A36" w:rsidRDefault="00F60A36" w:rsidP="002464CB">
      <w:pPr>
        <w:pStyle w:val="Standard"/>
        <w:ind w:left="426" w:right="4"/>
        <w:jc w:val="center"/>
        <w:rPr>
          <w:b/>
          <w:sz w:val="21"/>
          <w:szCs w:val="21"/>
        </w:rPr>
      </w:pPr>
      <w:r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lastRenderedPageBreak/>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375331">
        <w:rPr>
          <w:sz w:val="21"/>
          <w:szCs w:val="21"/>
        </w:rPr>
        <w:t xml:space="preserve">: </w:t>
      </w:r>
      <w:hyperlink r:id="rId9" w:history="1">
        <w:r w:rsidR="003F4701" w:rsidRPr="00754615">
          <w:rPr>
            <w:rStyle w:val="Hypertextovprepojenie"/>
            <w:sz w:val="21"/>
            <w:szCs w:val="21"/>
          </w:rPr>
          <w:t>podatelna@bbsk.sk</w:t>
        </w:r>
      </w:hyperlink>
      <w:r w:rsidR="003F4701" w:rsidRPr="003F4701">
        <w:rPr>
          <w:sz w:val="21"/>
          <w:szCs w:val="21"/>
        </w:rPr>
        <w:t xml:space="preserve"> ; </w:t>
      </w:r>
      <w:hyperlink r:id="rId10" w:history="1">
        <w:r w:rsidR="00375331" w:rsidRPr="00375331">
          <w:rPr>
            <w:rStyle w:val="Hypertextovprepojenie"/>
            <w:sz w:val="21"/>
            <w:szCs w:val="21"/>
          </w:rPr>
          <w:t>robert.machala@bbsk.sk</w:t>
        </w:r>
      </w:hyperlink>
      <w:r w:rsidR="00375331" w:rsidRPr="00375331">
        <w:rPr>
          <w:sz w:val="21"/>
          <w:szCs w:val="21"/>
        </w:rPr>
        <w:t xml:space="preserve"> a</w:t>
      </w:r>
      <w:r w:rsidR="001A21D1" w:rsidRPr="00375331">
        <w:rPr>
          <w:sz w:val="21"/>
          <w:szCs w:val="21"/>
        </w:rPr>
        <w:t xml:space="preserve"> </w:t>
      </w:r>
      <w:hyperlink r:id="rId11" w:history="1">
        <w:r w:rsidR="00375331" w:rsidRPr="008B60B5">
          <w:rPr>
            <w:rStyle w:val="Hypertextovprepojenie"/>
            <w:sz w:val="21"/>
            <w:szCs w:val="21"/>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lastRenderedPageBreak/>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 xml:space="preserve">Odstúpenie od zmluvy sa spravuje ustanoveniami § 344 a nasl.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ai.).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274ED879" w:rsidR="00FD7EF8" w:rsidRPr="0001076F" w:rsidRDefault="001A21D1" w:rsidP="00645108">
      <w:pPr>
        <w:pStyle w:val="Standard"/>
        <w:numPr>
          <w:ilvl w:val="1"/>
          <w:numId w:val="28"/>
        </w:numPr>
        <w:jc w:val="both"/>
        <w:rPr>
          <w:sz w:val="21"/>
          <w:szCs w:val="21"/>
        </w:rPr>
      </w:pPr>
      <w:r w:rsidRPr="0001076F">
        <w:rPr>
          <w:sz w:val="21"/>
          <w:szCs w:val="21"/>
        </w:rPr>
        <w:lastRenderedPageBreak/>
        <w:t xml:space="preserve">Táto zmluva má </w:t>
      </w:r>
      <w:r w:rsidR="00591133" w:rsidRPr="0001076F">
        <w:rPr>
          <w:sz w:val="21"/>
          <w:szCs w:val="21"/>
        </w:rPr>
        <w:t>1</w:t>
      </w:r>
      <w:r w:rsidR="00C51DC9">
        <w:rPr>
          <w:sz w:val="21"/>
          <w:szCs w:val="21"/>
        </w:rPr>
        <w:t>1</w:t>
      </w:r>
      <w:r w:rsidRPr="0001076F">
        <w:rPr>
          <w:sz w:val="21"/>
          <w:szCs w:val="21"/>
        </w:rPr>
        <w:t xml:space="preserve"> strán, je vyhotovená v </w:t>
      </w:r>
      <w:r w:rsidR="00A525E2">
        <w:rPr>
          <w:sz w:val="21"/>
          <w:szCs w:val="21"/>
        </w:rPr>
        <w:t>štyroch</w:t>
      </w:r>
      <w:r w:rsidR="00A525E2" w:rsidRPr="0001076F">
        <w:rPr>
          <w:sz w:val="21"/>
          <w:szCs w:val="21"/>
        </w:rPr>
        <w:t xml:space="preserve"> </w:t>
      </w:r>
      <w:r w:rsidRPr="0001076F">
        <w:rPr>
          <w:sz w:val="21"/>
          <w:szCs w:val="21"/>
        </w:rPr>
        <w:t xml:space="preserve">rovnopisoch, pričom každý má platnosť originálu, s určením </w:t>
      </w:r>
      <w:r w:rsidR="00A525E2">
        <w:rPr>
          <w:sz w:val="21"/>
          <w:szCs w:val="21"/>
        </w:rPr>
        <w:t>dve</w:t>
      </w:r>
      <w:r w:rsidR="00A525E2" w:rsidRPr="0001076F">
        <w:rPr>
          <w:sz w:val="21"/>
          <w:szCs w:val="21"/>
        </w:rPr>
        <w:t xml:space="preserve"> </w:t>
      </w:r>
      <w:r w:rsidRPr="0001076F">
        <w:rPr>
          <w:sz w:val="21"/>
          <w:szCs w:val="21"/>
        </w:rPr>
        <w:t>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7777777"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na webovom sídle objednávateľa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vyhlasujú, že sú si vedomé všetkých následkov vyplývajúcich z tejto zmluvy, že ich zmluvná voľnosť nie je ničím obmedzená a že im nie sú známe okolnosti, ktoré by im bránili platne </w:t>
      </w:r>
      <w:r w:rsidRPr="0001076F">
        <w:rPr>
          <w:sz w:val="21"/>
          <w:szCs w:val="21"/>
        </w:rPr>
        <w:lastRenderedPageBreak/>
        <w:t>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92B1C" w14:textId="77777777" w:rsidR="00F5629F" w:rsidRDefault="00F5629F" w:rsidP="001A21D1">
      <w:r>
        <w:separator/>
      </w:r>
    </w:p>
  </w:endnote>
  <w:endnote w:type="continuationSeparator" w:id="0">
    <w:p w14:paraId="117BDAF8" w14:textId="77777777" w:rsidR="00F5629F" w:rsidRDefault="00F5629F"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8CB8" w14:textId="77777777" w:rsidR="00F5629F" w:rsidRDefault="00F5629F" w:rsidP="001A21D1">
      <w:r>
        <w:separator/>
      </w:r>
    </w:p>
  </w:footnote>
  <w:footnote w:type="continuationSeparator" w:id="0">
    <w:p w14:paraId="554E545A" w14:textId="77777777" w:rsidR="00F5629F" w:rsidRDefault="00F5629F"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474BA"/>
    <w:rsid w:val="00075706"/>
    <w:rsid w:val="00097092"/>
    <w:rsid w:val="000A6780"/>
    <w:rsid w:val="000B7B91"/>
    <w:rsid w:val="000D0BED"/>
    <w:rsid w:val="000F001D"/>
    <w:rsid w:val="0010407F"/>
    <w:rsid w:val="001203BD"/>
    <w:rsid w:val="00121DE8"/>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5834"/>
    <w:rsid w:val="00351B9B"/>
    <w:rsid w:val="003600CC"/>
    <w:rsid w:val="003670A2"/>
    <w:rsid w:val="00375331"/>
    <w:rsid w:val="00384621"/>
    <w:rsid w:val="003856A9"/>
    <w:rsid w:val="003927A8"/>
    <w:rsid w:val="003A6D99"/>
    <w:rsid w:val="003B7551"/>
    <w:rsid w:val="003C114C"/>
    <w:rsid w:val="003C3C2C"/>
    <w:rsid w:val="003F4701"/>
    <w:rsid w:val="00400715"/>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42A14"/>
    <w:rsid w:val="00643DA4"/>
    <w:rsid w:val="00645108"/>
    <w:rsid w:val="00696DEA"/>
    <w:rsid w:val="006C0EF4"/>
    <w:rsid w:val="006C5ADE"/>
    <w:rsid w:val="006D38DC"/>
    <w:rsid w:val="006D4A1D"/>
    <w:rsid w:val="006D674B"/>
    <w:rsid w:val="006E72D0"/>
    <w:rsid w:val="006F3824"/>
    <w:rsid w:val="00724563"/>
    <w:rsid w:val="007337D7"/>
    <w:rsid w:val="007666B8"/>
    <w:rsid w:val="00773A5A"/>
    <w:rsid w:val="00796CCF"/>
    <w:rsid w:val="007C1A36"/>
    <w:rsid w:val="007D1F94"/>
    <w:rsid w:val="007F2B0C"/>
    <w:rsid w:val="007F6DE8"/>
    <w:rsid w:val="00863E32"/>
    <w:rsid w:val="008914CC"/>
    <w:rsid w:val="00892FDE"/>
    <w:rsid w:val="008C0A1A"/>
    <w:rsid w:val="008D0343"/>
    <w:rsid w:val="008D6DA8"/>
    <w:rsid w:val="008E2D59"/>
    <w:rsid w:val="00954321"/>
    <w:rsid w:val="00956433"/>
    <w:rsid w:val="00996CCA"/>
    <w:rsid w:val="009C34EA"/>
    <w:rsid w:val="009D5EEF"/>
    <w:rsid w:val="009E39A7"/>
    <w:rsid w:val="009E4C07"/>
    <w:rsid w:val="009F06A7"/>
    <w:rsid w:val="009F1AA0"/>
    <w:rsid w:val="00A147B1"/>
    <w:rsid w:val="00A20E13"/>
    <w:rsid w:val="00A22B6B"/>
    <w:rsid w:val="00A2356E"/>
    <w:rsid w:val="00A24E8A"/>
    <w:rsid w:val="00A525E2"/>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51DC9"/>
    <w:rsid w:val="00C969A1"/>
    <w:rsid w:val="00CC5D31"/>
    <w:rsid w:val="00CE6D88"/>
    <w:rsid w:val="00D001D2"/>
    <w:rsid w:val="00D121EF"/>
    <w:rsid w:val="00D260A4"/>
    <w:rsid w:val="00D3716F"/>
    <w:rsid w:val="00D3720C"/>
    <w:rsid w:val="00D41722"/>
    <w:rsid w:val="00D57046"/>
    <w:rsid w:val="00D725E7"/>
    <w:rsid w:val="00D745F7"/>
    <w:rsid w:val="00DE0793"/>
    <w:rsid w:val="00DE3CC9"/>
    <w:rsid w:val="00DF05DA"/>
    <w:rsid w:val="00DF5C2F"/>
    <w:rsid w:val="00E205C4"/>
    <w:rsid w:val="00E21BD9"/>
    <w:rsid w:val="00E42D07"/>
    <w:rsid w:val="00EA2C3D"/>
    <w:rsid w:val="00EB77C7"/>
    <w:rsid w:val="00EF4400"/>
    <w:rsid w:val="00F20554"/>
    <w:rsid w:val="00F32CE8"/>
    <w:rsid w:val="00F35AEC"/>
    <w:rsid w:val="00F45EA3"/>
    <w:rsid w:val="00F5629F"/>
    <w:rsid w:val="00F60A36"/>
    <w:rsid w:val="00F7532C"/>
    <w:rsid w:val="00F91893"/>
    <w:rsid w:val="00FA0DF6"/>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o.korytar@bbsk.sk" TargetMode="External"/><Relationship Id="rId5" Type="http://schemas.openxmlformats.org/officeDocument/2006/relationships/settings" Target="settings.xml"/><Relationship Id="rId10" Type="http://schemas.openxmlformats.org/officeDocument/2006/relationships/hyperlink" Target="mailto:robert.machala@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 o výkone stavebného dozoru ZV BR DT" edit="true"/>
    <f:field ref="objsubject" par="" text="" edit="true"/>
    <f:field ref="objcreatedby" par="" text="Korytár, Oto, Ing."/>
    <f:field ref="objcreatedat" par="" date="2021-06-15T13:13:48" text="15. 6. 2021 13:13:48"/>
    <f:field ref="objchangedby" par="" text="Korytár, Oto, Ing."/>
    <f:field ref="objmodifiedat" par="" date="2021-06-15T13:13:53" text="15. 6. 2021 13:13:53"/>
    <f:field ref="doc_FSCFOLIO_1_1001_FieldDocumentNumber" par="" text=""/>
    <f:field ref="doc_FSCFOLIO_1_1001_FieldSubject" par="" text=""/>
    <f:field ref="FSCFOLIO_1_1001_FieldCurrentUser" par="" text="JUDr. Ivana Mesiariková"/>
    <f:field ref="CCAPRECONFIG_15_1001_Objektname" par="" text="Zmluva o výkone stavebného dozoru ZV BR DT"/>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93E656A-F5ED-4A1E-9195-E51153947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5456</Words>
  <Characters>31102</Characters>
  <Application>Microsoft Office Word</Application>
  <DocSecurity>0</DocSecurity>
  <Lines>259</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Mesiariková Ivana</cp:lastModifiedBy>
  <cp:revision>4</cp:revision>
  <cp:lastPrinted>2020-03-17T09:15:00Z</cp:lastPrinted>
  <dcterms:created xsi:type="dcterms:W3CDTF">2021-06-21T11:54:00Z</dcterms:created>
  <dcterms:modified xsi:type="dcterms:W3CDTF">2021-06-23T13:02:00Z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6. 2021, 13:13</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15. 6. 2021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15.6.2021, 13:13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15.06.2021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*COO.2090.100.9.3929152*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COO.2090.100.9.3929152</vt:lpwstr>
  </property>
  <property fmtid="{D5CDD505-2E9C-101B-9397-08002B2CF9AE}" pid="391" name="FSC#FSCFOLIO@1.1001:docpropproject">
    <vt:lpwstr/>
  </property>
</Properties>
</file>